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C2" w:rsidRPr="003850C2" w:rsidRDefault="003850C2" w:rsidP="003850C2">
      <w:pPr>
        <w:spacing w:after="225" w:line="840" w:lineRule="atLeast"/>
        <w:outlineLvl w:val="0"/>
        <w:rPr>
          <w:rFonts w:ascii="Helvetica" w:eastAsia="Times New Roman" w:hAnsi="Helvetica" w:cs="Helvetica"/>
          <w:b/>
          <w:bCs/>
          <w:color w:val="2C2723"/>
          <w:spacing w:val="-13"/>
          <w:kern w:val="36"/>
          <w:sz w:val="48"/>
          <w:szCs w:val="48"/>
          <w:lang w:eastAsia="en-GB"/>
        </w:rPr>
      </w:pPr>
      <w:r w:rsidRPr="003850C2">
        <w:rPr>
          <w:rFonts w:ascii="Helvetica" w:eastAsia="Times New Roman" w:hAnsi="Helvetica" w:cs="Helvetica"/>
          <w:b/>
          <w:bCs/>
          <w:color w:val="2C2723"/>
          <w:spacing w:val="-13"/>
          <w:kern w:val="36"/>
          <w:sz w:val="48"/>
          <w:szCs w:val="48"/>
          <w:lang w:eastAsia="en-GB"/>
        </w:rPr>
        <w:t>Headship Qualifications</w:t>
      </w:r>
    </w:p>
    <w:p w:rsidR="003850C2" w:rsidRPr="003850C2" w:rsidRDefault="003850C2" w:rsidP="003850C2">
      <w:pPr>
        <w:spacing w:after="30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Holding the Standard for Headship by completing a Headship Qualification is a prerequisite for teachers taking up their first permanent </w:t>
      </w:r>
      <w:proofErr w:type="spellStart"/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headteacher</w:t>
      </w:r>
      <w:proofErr w:type="spellEnd"/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 post in Local Authority and grant-aided schools in Scotland.</w:t>
      </w:r>
    </w:p>
    <w:p w:rsidR="003850C2" w:rsidRPr="003850C2" w:rsidRDefault="003850C2" w:rsidP="003850C2">
      <w:pPr>
        <w:spacing w:after="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This became a prerequisite on </w:t>
      </w:r>
      <w:r w:rsidRPr="003850C2">
        <w:rPr>
          <w:rFonts w:ascii="Helvetica" w:eastAsia="Times New Roman" w:hAnsi="Helvetica" w:cs="Helvetica"/>
          <w:b/>
          <w:bCs/>
          <w:color w:val="2C2723"/>
          <w:spacing w:val="-6"/>
          <w:sz w:val="30"/>
          <w:szCs w:val="30"/>
          <w:lang w:eastAsia="en-GB"/>
        </w:rPr>
        <w:t>1 August 2020</w:t>
      </w: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, under the Head Teachers Education and Training Standards (Scotland) Regulations, 2019.</w:t>
      </w:r>
    </w:p>
    <w:p w:rsidR="003850C2" w:rsidRPr="003850C2" w:rsidRDefault="003850C2" w:rsidP="003850C2">
      <w:pPr>
        <w:spacing w:after="30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There are two exemptions:</w:t>
      </w:r>
    </w:p>
    <w:p w:rsidR="003850C2" w:rsidRPr="003850C2" w:rsidRDefault="003850C2" w:rsidP="003850C2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Permanent </w:t>
      </w:r>
      <w:proofErr w:type="spellStart"/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headteachers</w:t>
      </w:r>
      <w:proofErr w:type="spellEnd"/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 who were appointed to a position in a school on, or prior to, 1 August 2020.</w:t>
      </w:r>
    </w:p>
    <w:p w:rsidR="003850C2" w:rsidRPr="003850C2" w:rsidRDefault="003850C2" w:rsidP="003850C2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Education authorities, or the managers of grant-aided schools, can appoint a person to a </w:t>
      </w:r>
      <w:proofErr w:type="spellStart"/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headteacher</w:t>
      </w:r>
      <w:proofErr w:type="spellEnd"/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 post, who has not attained the Standard for Headship, on a temporary basis for a period </w:t>
      </w:r>
      <w:r w:rsidRPr="003850C2">
        <w:rPr>
          <w:rFonts w:ascii="Helvetica" w:eastAsia="Times New Roman" w:hAnsi="Helvetica" w:cs="Helvetica"/>
          <w:b/>
          <w:bCs/>
          <w:color w:val="2C2723"/>
          <w:spacing w:val="-6"/>
          <w:sz w:val="30"/>
          <w:szCs w:val="30"/>
          <w:lang w:eastAsia="en-GB"/>
        </w:rPr>
        <w:t>not exceeding 30 months</w:t>
      </w: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 after 1 August 2020.</w:t>
      </w:r>
    </w:p>
    <w:p w:rsidR="003850C2" w:rsidRPr="003850C2" w:rsidRDefault="003850C2" w:rsidP="003850C2">
      <w:pPr>
        <w:spacing w:after="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The Scottish Government has no plans </w:t>
      </w:r>
      <w:r w:rsidRPr="003850C2">
        <w:rPr>
          <w:rFonts w:ascii="Helvetica" w:eastAsia="Times New Roman" w:hAnsi="Helvetica" w:cs="Helvetica"/>
          <w:b/>
          <w:bCs/>
          <w:color w:val="2C2723"/>
          <w:spacing w:val="-6"/>
          <w:sz w:val="30"/>
          <w:szCs w:val="30"/>
          <w:lang w:eastAsia="en-GB"/>
        </w:rPr>
        <w:t>at present</w:t>
      </w: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 to require that teachers appointed to </w:t>
      </w:r>
      <w:proofErr w:type="spellStart"/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headteacher</w:t>
      </w:r>
      <w:proofErr w:type="spellEnd"/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 xml:space="preserve"> posts in independent schools should hold the Standard for Headship.</w:t>
      </w:r>
    </w:p>
    <w:p w:rsidR="003850C2" w:rsidRPr="003850C2" w:rsidRDefault="003850C2" w:rsidP="003850C2">
      <w:pPr>
        <w:spacing w:after="300" w:line="240" w:lineRule="auto"/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</w:pPr>
      <w:r w:rsidRPr="003850C2">
        <w:rPr>
          <w:rFonts w:ascii="Helvetica" w:eastAsia="Times New Roman" w:hAnsi="Helvetica" w:cs="Helvetica"/>
          <w:color w:val="2C2723"/>
          <w:spacing w:val="-6"/>
          <w:sz w:val="30"/>
          <w:szCs w:val="30"/>
          <w:lang w:eastAsia="en-GB"/>
        </w:rPr>
        <w:t>Regulations relating to the independent sector will be brought in after the requirement for all teachers in independent schools to be registered with GTC Scotland had become embedded.</w:t>
      </w:r>
    </w:p>
    <w:bookmarkStart w:id="0" w:name="_GoBack"/>
    <w:bookmarkEnd w:id="0"/>
    <w:p w:rsidR="003850C2" w:rsidRPr="003850C2" w:rsidRDefault="003850C2" w:rsidP="003850C2">
      <w:pPr>
        <w:autoSpaceDE w:val="0"/>
        <w:autoSpaceDN w:val="0"/>
        <w:spacing w:before="40" w:after="40" w:line="240" w:lineRule="auto"/>
        <w:rPr>
          <w:rFonts w:ascii="Calibri" w:eastAsia="Times New Roman" w:hAnsi="Calibri" w:cs="Calibri"/>
          <w:lang w:eastAsia="en-GB"/>
        </w:rPr>
      </w:pPr>
      <w:r w:rsidRPr="003850C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3850C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"https://www.gtcs.org.uk/professional-standards/headship-qualifications/" </w:instrText>
      </w:r>
      <w:r w:rsidRPr="003850C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3850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Headship Qualifications - The General Teaching Council for Scotland (gtcs.org.uk)</w:t>
      </w:r>
      <w:r w:rsidRPr="003850C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3850C2"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:rsidR="003850C2" w:rsidRPr="003850C2" w:rsidRDefault="003850C2" w:rsidP="003850C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850C2">
        <w:rPr>
          <w:rFonts w:ascii="Segoe UI" w:eastAsia="Times New Roman" w:hAnsi="Segoe UI" w:cs="Segoe UI"/>
          <w:color w:val="6E6E73"/>
          <w:sz w:val="16"/>
          <w:szCs w:val="16"/>
          <w:lang w:eastAsia="en-GB"/>
        </w:rPr>
        <w:t> </w:t>
      </w:r>
    </w:p>
    <w:p w:rsidR="003850C2" w:rsidRPr="003850C2" w:rsidRDefault="003850C2" w:rsidP="003850C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3850C2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:rsidR="003850C2" w:rsidRDefault="003850C2"/>
    <w:sectPr w:rsidR="0038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F66"/>
    <w:multiLevelType w:val="multilevel"/>
    <w:tmpl w:val="A65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C2"/>
    <w:rsid w:val="003850C2"/>
    <w:rsid w:val="003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15C5"/>
  <w15:chartTrackingRefBased/>
  <w15:docId w15:val="{755B6C5F-FE11-458C-A8E0-61B65A7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Anne Margaret</dc:creator>
  <cp:keywords/>
  <dc:description/>
  <cp:lastModifiedBy>Houston, Anne Margaret</cp:lastModifiedBy>
  <cp:revision>1</cp:revision>
  <dcterms:created xsi:type="dcterms:W3CDTF">2022-01-26T14:35:00Z</dcterms:created>
  <dcterms:modified xsi:type="dcterms:W3CDTF">2022-01-26T14:36:00Z</dcterms:modified>
</cp:coreProperties>
</file>